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734"/>
      </w:tblGrid>
      <w:tr w:rsidR="00DC06DE" w:rsidRPr="00BF5622"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61ED36EB" w:rsidR="00F372C9" w:rsidRPr="00BF5622" w:rsidRDefault="00A72FF1" w:rsidP="00F372C9">
            <w:pPr>
              <w:spacing w:line="252" w:lineRule="auto"/>
              <w:jc w:val="center"/>
              <w:rPr>
                <w:rFonts w:ascii="Calibri Light" w:hAnsi="Calibri Light" w:cs="Calibri Light"/>
                <w:b/>
                <w:lang w:val="lt-LT"/>
              </w:rPr>
            </w:pPr>
            <w:r>
              <w:rPr>
                <w:rFonts w:ascii="Calibri Light" w:hAnsi="Calibri Light" w:cs="Calibri Light"/>
                <w:b/>
                <w:sz w:val="24"/>
                <w:szCs w:val="24"/>
                <w:lang w:val="lt-LT"/>
              </w:rPr>
              <w:fldChar w:fldCharType="begin">
                <w:ffData>
                  <w:name w:val="Tekstas1"/>
                  <w:enabled/>
                  <w:calcOnExit w:val="0"/>
                  <w:textInput>
                    <w:default w:val="Produktų saugos, sudėties ir/ar atitikties deklaruojamiems rodikliams bandymų paslaugos"/>
                  </w:textInput>
                </w:ffData>
              </w:fldChar>
            </w:r>
            <w:bookmarkStart w:id="15" w:name="Tekstas1"/>
            <w:r>
              <w:rPr>
                <w:rFonts w:ascii="Calibri Light" w:hAnsi="Calibri Light" w:cs="Calibri Light"/>
                <w:b/>
                <w:sz w:val="24"/>
                <w:szCs w:val="24"/>
                <w:lang w:val="lt-LT"/>
              </w:rPr>
              <w:instrText xml:space="preserve"> FORMTEXT </w:instrText>
            </w:r>
            <w:r>
              <w:rPr>
                <w:rFonts w:ascii="Calibri Light" w:hAnsi="Calibri Light" w:cs="Calibri Light"/>
                <w:b/>
                <w:sz w:val="24"/>
                <w:szCs w:val="24"/>
                <w:lang w:val="lt-LT"/>
              </w:rPr>
            </w:r>
            <w:r>
              <w:rPr>
                <w:rFonts w:ascii="Calibri Light" w:hAnsi="Calibri Light" w:cs="Calibri Light"/>
                <w:b/>
                <w:sz w:val="24"/>
                <w:szCs w:val="24"/>
                <w:lang w:val="lt-LT"/>
              </w:rPr>
              <w:fldChar w:fldCharType="separate"/>
            </w:r>
            <w:r>
              <w:rPr>
                <w:rFonts w:ascii="Calibri Light" w:hAnsi="Calibri Light" w:cs="Calibri Light"/>
                <w:b/>
                <w:noProof/>
                <w:sz w:val="24"/>
                <w:szCs w:val="24"/>
                <w:lang w:val="lt-LT"/>
              </w:rPr>
              <w:t>Produktų saugos, sudėties ir/ar atitikties deklaruojamiems rodikliams bandymų paslaugos</w:t>
            </w:r>
            <w:r>
              <w:rPr>
                <w:rFonts w:ascii="Calibri Light" w:hAnsi="Calibri Light" w:cs="Calibri Light"/>
                <w:b/>
                <w:sz w:val="24"/>
                <w:szCs w:val="24"/>
                <w:lang w:val="lt-LT"/>
              </w:rPr>
              <w:fldChar w:fldCharType="end"/>
            </w:r>
            <w:bookmarkEnd w:id="15"/>
            <w:r w:rsidR="00F372C9" w:rsidRPr="00BF5622">
              <w:rPr>
                <w:rFonts w:ascii="Calibri Light" w:hAnsi="Calibri Light" w:cs="Calibri Light"/>
                <w:b/>
                <w:lang w:val="lt-LT"/>
              </w:rPr>
              <w:t xml:space="preserve"> </w:t>
            </w:r>
          </w:p>
        </w:tc>
      </w:tr>
    </w:tbl>
    <w:p w14:paraId="0C811A87" w14:textId="77777777" w:rsidR="00DC06DE" w:rsidRPr="00BF5622" w:rsidRDefault="00DC06DE" w:rsidP="00DC06DE">
      <w:pPr>
        <w:spacing w:before="60" w:after="60" w:line="120" w:lineRule="auto"/>
        <w:rPr>
          <w:rFonts w:ascii="Calibri Light" w:hAnsi="Calibri Light" w:cs="Calibri Light"/>
          <w:b/>
          <w:sz w:val="20"/>
          <w:szCs w:val="20"/>
          <w:lang w:val="lt-LT"/>
        </w:rPr>
      </w:pPr>
    </w:p>
    <w:p w14:paraId="57EB7483" w14:textId="77777777" w:rsidR="00F372C9" w:rsidRPr="00BF5622" w:rsidRDefault="00F372C9" w:rsidP="00DC06DE">
      <w:pPr>
        <w:spacing w:before="60" w:after="60" w:line="120" w:lineRule="auto"/>
        <w:rPr>
          <w:rFonts w:ascii="Calibri Light" w:hAnsi="Calibri Light" w:cs="Calibri Light"/>
          <w:b/>
          <w:sz w:val="20"/>
          <w:szCs w:val="20"/>
          <w:lang w:val="lt-LT"/>
        </w:rPr>
      </w:pPr>
    </w:p>
    <w:p w14:paraId="646FA7A8" w14:textId="77777777" w:rsidR="00BF5622" w:rsidRPr="00BF5622" w:rsidRDefault="00BF5622" w:rsidP="00BF5622">
      <w:pPr>
        <w:spacing w:after="0" w:line="240" w:lineRule="auto"/>
        <w:jc w:val="center"/>
        <w:rPr>
          <w:rFonts w:ascii="Calibri Light" w:eastAsia="Times New Roman" w:hAnsi="Calibri Light" w:cs="Calibri Light"/>
          <w:b/>
          <w:bCs/>
          <w:sz w:val="24"/>
          <w:szCs w:val="24"/>
          <w:lang w:val="lt-LT" w:eastAsia="lt-LT"/>
        </w:rPr>
      </w:pPr>
      <w:bookmarkStart w:id="16"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6"/>
    </w:p>
    <w:p w14:paraId="2A7FD251" w14:textId="77777777" w:rsidR="00BF5622" w:rsidRPr="00BF5622" w:rsidRDefault="00BF5622" w:rsidP="00BF5622">
      <w:pPr>
        <w:spacing w:after="0" w:line="240" w:lineRule="auto"/>
        <w:rPr>
          <w:rFonts w:ascii="Calibri Light" w:eastAsia="Times New Roman" w:hAnsi="Calibri Light" w:cs="Calibri Light"/>
          <w:b/>
          <w:bCs/>
          <w:lang w:val="lt-LT" w:eastAsia="lt-LT"/>
        </w:rPr>
      </w:pPr>
      <w:r w:rsidRPr="00BF5622">
        <w:rPr>
          <w:rFonts w:ascii="Calibri Light" w:eastAsia="Times New Roman" w:hAnsi="Calibri Light" w:cs="Calibri Light"/>
          <w:b/>
          <w:bCs/>
          <w:lang w:val="lt-LT" w:eastAsia="lt-LT"/>
        </w:rPr>
        <w:t>1. Bendrosios nuostatos.</w:t>
      </w:r>
    </w:p>
    <w:p w14:paraId="04B431B0" w14:textId="77777777" w:rsidR="00BF5622" w:rsidRPr="00BF5622" w:rsidRDefault="00BF5622" w:rsidP="00BF5622">
      <w:pPr>
        <w:spacing w:after="0" w:line="240" w:lineRule="auto"/>
        <w:rPr>
          <w:rFonts w:ascii="Calibri Light" w:hAnsi="Calibri Light" w:cs="Calibri Light"/>
          <w:lang w:val="lt-LT"/>
        </w:rPr>
      </w:pPr>
      <w:r w:rsidRPr="00BF5622">
        <w:rPr>
          <w:rFonts w:ascii="Calibri Light" w:eastAsia="Times New Roman" w:hAnsi="Calibri Light" w:cs="Calibri Light"/>
          <w:lang w:val="lt-LT" w:eastAsia="lt-LT"/>
        </w:rPr>
        <w:t xml:space="preserve">1.1. </w:t>
      </w:r>
      <w:r w:rsidRPr="00BF5622">
        <w:rPr>
          <w:rFonts w:ascii="Calibri Light" w:hAnsi="Calibri Light" w:cs="Calibri Light"/>
          <w:lang w:val="lt-LT"/>
        </w:rPr>
        <w:t xml:space="preserve">Biudžetinė įstaiga Valstybinė vartotojų teisių apsaugos tarnyba (toliau – Tarnyba), perka produktų saugos, sudėties ir/ar atitikties deklaruojamiesiems rodikliams bandymų paslaugas (toliau – Paslaugos). Paslaugų kodas pagal Bendrąjį viešųjų pirkimų žodyną 73111000-3 (Mokslinių tyrimų laboratorinės paslaugos). </w:t>
      </w:r>
    </w:p>
    <w:p w14:paraId="0FE2F2A0" w14:textId="77777777" w:rsidR="00BF5622" w:rsidRPr="00BF5622" w:rsidRDefault="00BF5622" w:rsidP="00BF5622">
      <w:pPr>
        <w:spacing w:after="0" w:line="240" w:lineRule="auto"/>
        <w:rPr>
          <w:rFonts w:ascii="Calibri Light" w:hAnsi="Calibri Light" w:cs="Calibri Light"/>
          <w:lang w:val="lt-LT"/>
        </w:rPr>
      </w:pPr>
    </w:p>
    <w:p w14:paraId="108294C2" w14:textId="77777777" w:rsidR="00BF5622" w:rsidRPr="00BF5622" w:rsidRDefault="00BF5622" w:rsidP="00BF5622">
      <w:pPr>
        <w:spacing w:after="0" w:line="240" w:lineRule="auto"/>
        <w:rPr>
          <w:rFonts w:ascii="Calibri Light" w:hAnsi="Calibri Light" w:cs="Calibri Light"/>
          <w:b/>
          <w:bCs/>
          <w:lang w:val="lt-LT"/>
        </w:rPr>
      </w:pPr>
      <w:r w:rsidRPr="00BF5622">
        <w:rPr>
          <w:rFonts w:ascii="Calibri Light" w:hAnsi="Calibri Light" w:cs="Calibri Light"/>
          <w:b/>
          <w:bCs/>
          <w:lang w:val="lt-LT"/>
        </w:rPr>
        <w:t>2. Reikalavimai Paslaugų objektui ir Paslaugų apimčiai/kiekiui.</w:t>
      </w:r>
    </w:p>
    <w:p w14:paraId="7C918587" w14:textId="77777777" w:rsidR="00BF5622" w:rsidRPr="00BF5622" w:rsidRDefault="00BF5622" w:rsidP="00BF5622">
      <w:pPr>
        <w:spacing w:after="0" w:line="240" w:lineRule="auto"/>
        <w:rPr>
          <w:rFonts w:ascii="Calibri Light" w:eastAsia="Times New Roman" w:hAnsi="Calibri Light" w:cs="Calibri Light"/>
          <w:b/>
          <w:bCs/>
          <w:lang w:val="lt-LT" w:eastAsia="lt-LT"/>
        </w:rPr>
      </w:pPr>
    </w:p>
    <w:tbl>
      <w:tblPr>
        <w:tblStyle w:val="Lentelstinklelisviesus"/>
        <w:tblW w:w="14485" w:type="dxa"/>
        <w:jc w:val="center"/>
        <w:tblLook w:val="04A0" w:firstRow="1" w:lastRow="0" w:firstColumn="1" w:lastColumn="0" w:noHBand="0" w:noVBand="1"/>
      </w:tblPr>
      <w:tblGrid>
        <w:gridCol w:w="886"/>
        <w:gridCol w:w="7"/>
        <w:gridCol w:w="1169"/>
        <w:gridCol w:w="2155"/>
        <w:gridCol w:w="7"/>
        <w:gridCol w:w="3015"/>
        <w:gridCol w:w="21"/>
        <w:gridCol w:w="23"/>
        <w:gridCol w:w="5667"/>
        <w:gridCol w:w="16"/>
        <w:gridCol w:w="1519"/>
      </w:tblGrid>
      <w:tr w:rsidR="00BF5622" w:rsidRPr="00BF5622" w14:paraId="0BDD0A3D" w14:textId="77777777" w:rsidTr="00BF5622">
        <w:trPr>
          <w:jc w:val="center"/>
        </w:trPr>
        <w:tc>
          <w:tcPr>
            <w:tcW w:w="886" w:type="dxa"/>
          </w:tcPr>
          <w:p w14:paraId="75BC8EF1"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Eil. Nr.</w:t>
            </w:r>
          </w:p>
        </w:tc>
        <w:tc>
          <w:tcPr>
            <w:tcW w:w="1176" w:type="dxa"/>
            <w:gridSpan w:val="2"/>
          </w:tcPr>
          <w:p w14:paraId="5DC499FA"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Pirkimo objekto dalys</w:t>
            </w:r>
          </w:p>
        </w:tc>
        <w:tc>
          <w:tcPr>
            <w:tcW w:w="2162" w:type="dxa"/>
            <w:gridSpan w:val="2"/>
          </w:tcPr>
          <w:p w14:paraId="5A53F159"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Gaminių grupė</w:t>
            </w:r>
          </w:p>
        </w:tc>
        <w:tc>
          <w:tcPr>
            <w:tcW w:w="3059" w:type="dxa"/>
            <w:gridSpan w:val="3"/>
          </w:tcPr>
          <w:p w14:paraId="615EC1E4" w14:textId="77777777" w:rsidR="00BF5622" w:rsidRPr="00BF5622" w:rsidRDefault="00BF5622" w:rsidP="00733D73">
            <w:pPr>
              <w:jc w:val="center"/>
              <w:rPr>
                <w:rFonts w:ascii="Calibri Light" w:hAnsi="Calibri Light" w:cs="Calibri Light"/>
                <w:highlight w:val="yellow"/>
                <w:lang w:val="lt-LT"/>
              </w:rPr>
            </w:pPr>
            <w:r w:rsidRPr="00BF5622">
              <w:rPr>
                <w:rFonts w:ascii="Calibri Light" w:hAnsi="Calibri Light" w:cs="Calibri Light"/>
                <w:lang w:val="lt-LT"/>
              </w:rPr>
              <w:t>Paslaugų objektas</w:t>
            </w:r>
          </w:p>
        </w:tc>
        <w:tc>
          <w:tcPr>
            <w:tcW w:w="5667" w:type="dxa"/>
          </w:tcPr>
          <w:p w14:paraId="0B412A83"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Gaminio atitiktis standartams</w:t>
            </w:r>
          </w:p>
        </w:tc>
        <w:tc>
          <w:tcPr>
            <w:tcW w:w="1535" w:type="dxa"/>
            <w:gridSpan w:val="2"/>
          </w:tcPr>
          <w:p w14:paraId="5E089F88" w14:textId="77777777" w:rsidR="00BF5622" w:rsidRPr="00BF5622" w:rsidRDefault="00BF5622" w:rsidP="00733D73">
            <w:pPr>
              <w:jc w:val="center"/>
              <w:rPr>
                <w:rFonts w:ascii="Calibri Light" w:hAnsi="Calibri Light" w:cs="Calibri Light"/>
                <w:lang w:val="lt-LT"/>
              </w:rPr>
            </w:pPr>
            <w:r w:rsidRPr="00BF5622">
              <w:rPr>
                <w:rFonts w:ascii="Calibri Light" w:eastAsia="Times New Roman" w:hAnsi="Calibri Light" w:cs="Calibri Light"/>
                <w:color w:val="000000"/>
                <w:lang w:val="lt-LT" w:eastAsia="lt-LT"/>
              </w:rPr>
              <w:t>Preliminarus bandymų kiekis</w:t>
            </w:r>
          </w:p>
        </w:tc>
      </w:tr>
      <w:tr w:rsidR="00BF5622" w:rsidRPr="00BF5622" w14:paraId="25D28D46" w14:textId="77777777" w:rsidTr="00BF5622">
        <w:trPr>
          <w:jc w:val="center"/>
        </w:trPr>
        <w:tc>
          <w:tcPr>
            <w:tcW w:w="886" w:type="dxa"/>
          </w:tcPr>
          <w:p w14:paraId="39DE73DE"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2.1.</w:t>
            </w:r>
          </w:p>
        </w:tc>
        <w:tc>
          <w:tcPr>
            <w:tcW w:w="1176" w:type="dxa"/>
            <w:gridSpan w:val="2"/>
          </w:tcPr>
          <w:p w14:paraId="260FDDD9"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I dalis</w:t>
            </w:r>
          </w:p>
        </w:tc>
        <w:tc>
          <w:tcPr>
            <w:tcW w:w="2162" w:type="dxa"/>
            <w:gridSpan w:val="2"/>
          </w:tcPr>
          <w:p w14:paraId="49BE8B46"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Elektrotechnikos gaminiai</w:t>
            </w:r>
          </w:p>
        </w:tc>
        <w:tc>
          <w:tcPr>
            <w:tcW w:w="3059" w:type="dxa"/>
            <w:gridSpan w:val="3"/>
          </w:tcPr>
          <w:p w14:paraId="2DF1D42C"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Elektroninių prietaisų atitikties saugos reikalavimams, elektromagnetinio suderinamumo rodikliams ir atitikties deklaruojamiems rodikliams bandymai</w:t>
            </w:r>
          </w:p>
        </w:tc>
        <w:tc>
          <w:tcPr>
            <w:tcW w:w="5667" w:type="dxa"/>
          </w:tcPr>
          <w:p w14:paraId="31656A5C"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Energijos suvartojimo rodikliai, LST EN 60950, LST EN 60065, EMC standartai arba lygiaverčiai</w:t>
            </w:r>
          </w:p>
        </w:tc>
        <w:tc>
          <w:tcPr>
            <w:tcW w:w="1535" w:type="dxa"/>
            <w:gridSpan w:val="2"/>
          </w:tcPr>
          <w:p w14:paraId="1AAE251D"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12</w:t>
            </w:r>
          </w:p>
        </w:tc>
      </w:tr>
      <w:tr w:rsidR="00BF5622" w:rsidRPr="00BF5622" w14:paraId="0591EFF8" w14:textId="77777777" w:rsidTr="00BF5622">
        <w:trPr>
          <w:jc w:val="center"/>
        </w:trPr>
        <w:tc>
          <w:tcPr>
            <w:tcW w:w="886" w:type="dxa"/>
          </w:tcPr>
          <w:p w14:paraId="198271B3"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2.2.</w:t>
            </w:r>
          </w:p>
        </w:tc>
        <w:tc>
          <w:tcPr>
            <w:tcW w:w="1176" w:type="dxa"/>
            <w:gridSpan w:val="2"/>
          </w:tcPr>
          <w:p w14:paraId="3C50AD81"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II dalis</w:t>
            </w:r>
          </w:p>
        </w:tc>
        <w:tc>
          <w:tcPr>
            <w:tcW w:w="2162" w:type="dxa"/>
            <w:gridSpan w:val="2"/>
          </w:tcPr>
          <w:p w14:paraId="7E1D00A8"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Baldai      </w:t>
            </w:r>
          </w:p>
        </w:tc>
        <w:tc>
          <w:tcPr>
            <w:tcW w:w="3059" w:type="dxa"/>
            <w:gridSpan w:val="3"/>
          </w:tcPr>
          <w:p w14:paraId="39AF2238"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Baldų saugos įvertinimo bandymai</w:t>
            </w:r>
          </w:p>
        </w:tc>
        <w:tc>
          <w:tcPr>
            <w:tcW w:w="5667" w:type="dxa"/>
          </w:tcPr>
          <w:p w14:paraId="0EC09B7C"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LST EN 14749, LST EN 16121, LST EN 14073-2, LST EN 14074, LST EN 1023-1, LST EN 1023-2, LST EN 527-1, LST EN 527-2, LST EN 12520, LST EN 12521, LST EN 15372, LST EN 581-1, LST EN 581-2, LST EN 581-3, LST EN 1729-1, LST EN 1729-2, LST EN 13150, LST EN 16139, LST EN 14988-1, LST EN 1335-1, LST EN 1335-2, LST EN 12727, LST EN 1725, LST EN 716-1, LST EN 1130-1, LST EN 747-1+A1, LST EN 12221-1+A1, LST EN 12227, LST EN 13759, LST EN 15338 arba lygiaverčiai</w:t>
            </w:r>
          </w:p>
        </w:tc>
        <w:tc>
          <w:tcPr>
            <w:tcW w:w="1535" w:type="dxa"/>
            <w:gridSpan w:val="2"/>
          </w:tcPr>
          <w:p w14:paraId="0E198F0F"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30</w:t>
            </w:r>
          </w:p>
        </w:tc>
      </w:tr>
      <w:tr w:rsidR="00BF5622" w:rsidRPr="00BF5622" w14:paraId="0A90B08C" w14:textId="77777777" w:rsidTr="00BF5622">
        <w:trPr>
          <w:jc w:val="center"/>
        </w:trPr>
        <w:tc>
          <w:tcPr>
            <w:tcW w:w="886" w:type="dxa"/>
          </w:tcPr>
          <w:p w14:paraId="4AAFB571"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2.3.</w:t>
            </w:r>
          </w:p>
        </w:tc>
        <w:tc>
          <w:tcPr>
            <w:tcW w:w="1176" w:type="dxa"/>
            <w:gridSpan w:val="2"/>
          </w:tcPr>
          <w:p w14:paraId="51D07A4E"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III dalis</w:t>
            </w:r>
          </w:p>
        </w:tc>
        <w:tc>
          <w:tcPr>
            <w:tcW w:w="2162" w:type="dxa"/>
            <w:gridSpan w:val="2"/>
          </w:tcPr>
          <w:p w14:paraId="45F0DC66"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Dujas deginantys prietaisai</w:t>
            </w:r>
          </w:p>
        </w:tc>
        <w:tc>
          <w:tcPr>
            <w:tcW w:w="3059" w:type="dxa"/>
            <w:gridSpan w:val="3"/>
          </w:tcPr>
          <w:p w14:paraId="44441BA2"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Dujinių prietaisų privalomiesiems saugos reikalavimams bandymai</w:t>
            </w:r>
          </w:p>
        </w:tc>
        <w:tc>
          <w:tcPr>
            <w:tcW w:w="5667" w:type="dxa"/>
          </w:tcPr>
          <w:p w14:paraId="03E4E2E2"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LST EN 30-1-4 arba lygiavertis</w:t>
            </w:r>
          </w:p>
        </w:tc>
        <w:tc>
          <w:tcPr>
            <w:tcW w:w="1535" w:type="dxa"/>
            <w:gridSpan w:val="2"/>
          </w:tcPr>
          <w:p w14:paraId="7EE0A115"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8</w:t>
            </w:r>
          </w:p>
        </w:tc>
      </w:tr>
      <w:tr w:rsidR="00BF5622" w:rsidRPr="00BF5622" w14:paraId="69BCC381" w14:textId="77777777" w:rsidTr="00BF5622">
        <w:trPr>
          <w:jc w:val="center"/>
        </w:trPr>
        <w:tc>
          <w:tcPr>
            <w:tcW w:w="886" w:type="dxa"/>
          </w:tcPr>
          <w:p w14:paraId="6BD19F88"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2.4.</w:t>
            </w:r>
          </w:p>
        </w:tc>
        <w:tc>
          <w:tcPr>
            <w:tcW w:w="1176" w:type="dxa"/>
            <w:gridSpan w:val="2"/>
          </w:tcPr>
          <w:p w14:paraId="63E218D8"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IV dalis</w:t>
            </w:r>
          </w:p>
        </w:tc>
        <w:tc>
          <w:tcPr>
            <w:tcW w:w="2162" w:type="dxa"/>
            <w:gridSpan w:val="2"/>
          </w:tcPr>
          <w:p w14:paraId="73DFFACB"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Termoizoliacinės medžiagos</w:t>
            </w:r>
          </w:p>
        </w:tc>
        <w:tc>
          <w:tcPr>
            <w:tcW w:w="3059" w:type="dxa"/>
            <w:gridSpan w:val="3"/>
          </w:tcPr>
          <w:p w14:paraId="72A54643"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Termoizoliacinių medžiagų atitikties deklaruojamiems rodikliams bandymai</w:t>
            </w:r>
          </w:p>
        </w:tc>
        <w:tc>
          <w:tcPr>
            <w:tcW w:w="5667" w:type="dxa"/>
          </w:tcPr>
          <w:p w14:paraId="498576BE"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LST EN 13162, LST EN 13163, LST EN 13164, LST EN 13165, LST EN 13166, LST EN 12667, LST EN 826, LST EN 12089 arba lygiaverčiai</w:t>
            </w:r>
          </w:p>
        </w:tc>
        <w:tc>
          <w:tcPr>
            <w:tcW w:w="1535" w:type="dxa"/>
            <w:gridSpan w:val="2"/>
          </w:tcPr>
          <w:p w14:paraId="20294159"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20</w:t>
            </w:r>
          </w:p>
        </w:tc>
      </w:tr>
      <w:tr w:rsidR="00BF5622" w:rsidRPr="00BF5622" w14:paraId="18DA52CF" w14:textId="77777777" w:rsidTr="00BF5622">
        <w:trPr>
          <w:jc w:val="center"/>
        </w:trPr>
        <w:tc>
          <w:tcPr>
            <w:tcW w:w="886" w:type="dxa"/>
          </w:tcPr>
          <w:p w14:paraId="09A51358"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2.5.</w:t>
            </w:r>
          </w:p>
        </w:tc>
        <w:tc>
          <w:tcPr>
            <w:tcW w:w="1176" w:type="dxa"/>
            <w:gridSpan w:val="2"/>
          </w:tcPr>
          <w:p w14:paraId="1CE3C487"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V dalis</w:t>
            </w:r>
          </w:p>
        </w:tc>
        <w:tc>
          <w:tcPr>
            <w:tcW w:w="2162" w:type="dxa"/>
            <w:gridSpan w:val="2"/>
          </w:tcPr>
          <w:p w14:paraId="68F7334D"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Tekstilės gaminiai</w:t>
            </w:r>
          </w:p>
        </w:tc>
        <w:tc>
          <w:tcPr>
            <w:tcW w:w="3059" w:type="dxa"/>
            <w:gridSpan w:val="3"/>
          </w:tcPr>
          <w:p w14:paraId="6E77FD04"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Tekstilės gaminių pluoštinės sudėties nustatymas</w:t>
            </w:r>
          </w:p>
        </w:tc>
        <w:tc>
          <w:tcPr>
            <w:tcW w:w="5667" w:type="dxa"/>
          </w:tcPr>
          <w:p w14:paraId="0C327FD0"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EP ir Tarybos Reglamentas Nr. 1007/2011 Dėl tekstilės pluoštų pavadinimų ir susijusio tekstilės gaminių pluoštų sudėties ženklinimo ir žymėjimo arba lygiavertis</w:t>
            </w:r>
          </w:p>
        </w:tc>
        <w:tc>
          <w:tcPr>
            <w:tcW w:w="1535" w:type="dxa"/>
            <w:gridSpan w:val="2"/>
          </w:tcPr>
          <w:p w14:paraId="085DFDB2"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42</w:t>
            </w:r>
          </w:p>
        </w:tc>
      </w:tr>
      <w:tr w:rsidR="00BF5622" w:rsidRPr="00BF5622" w14:paraId="69506C70" w14:textId="77777777" w:rsidTr="00BF5622">
        <w:trPr>
          <w:jc w:val="center"/>
        </w:trPr>
        <w:tc>
          <w:tcPr>
            <w:tcW w:w="893" w:type="dxa"/>
            <w:gridSpan w:val="2"/>
          </w:tcPr>
          <w:p w14:paraId="0AA78B12"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lastRenderedPageBreak/>
              <w:t>2.6.</w:t>
            </w:r>
          </w:p>
        </w:tc>
        <w:tc>
          <w:tcPr>
            <w:tcW w:w="1169" w:type="dxa"/>
          </w:tcPr>
          <w:p w14:paraId="588EEA09"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VI dalis</w:t>
            </w:r>
          </w:p>
        </w:tc>
        <w:tc>
          <w:tcPr>
            <w:tcW w:w="2155" w:type="dxa"/>
          </w:tcPr>
          <w:p w14:paraId="7DB53375"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Nafta     </w:t>
            </w:r>
          </w:p>
        </w:tc>
        <w:tc>
          <w:tcPr>
            <w:tcW w:w="3043" w:type="dxa"/>
            <w:gridSpan w:val="3"/>
          </w:tcPr>
          <w:p w14:paraId="2B8407B1"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Dyzelino </w:t>
            </w:r>
            <w:proofErr w:type="spellStart"/>
            <w:r w:rsidRPr="00BF5622">
              <w:rPr>
                <w:rFonts w:ascii="Calibri Light" w:hAnsi="Calibri Light" w:cs="Calibri Light"/>
                <w:lang w:val="lt-LT"/>
              </w:rPr>
              <w:t>bio</w:t>
            </w:r>
            <w:proofErr w:type="spellEnd"/>
            <w:r w:rsidRPr="00BF5622">
              <w:rPr>
                <w:rFonts w:ascii="Calibri Light" w:hAnsi="Calibri Light" w:cs="Calibri Light"/>
                <w:lang w:val="lt-LT"/>
              </w:rPr>
              <w:t xml:space="preserve"> priedų biogeninės kilmės kiekio  (anglies atomo amžiaus) nustatymo bandymai </w:t>
            </w:r>
          </w:p>
        </w:tc>
        <w:tc>
          <w:tcPr>
            <w:tcW w:w="5706" w:type="dxa"/>
            <w:gridSpan w:val="3"/>
          </w:tcPr>
          <w:p w14:paraId="0327D245"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Standartas ASTM D6866-21 arba lygiavertis</w:t>
            </w:r>
          </w:p>
        </w:tc>
        <w:tc>
          <w:tcPr>
            <w:tcW w:w="1519" w:type="dxa"/>
          </w:tcPr>
          <w:p w14:paraId="29BA40B0"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120</w:t>
            </w:r>
          </w:p>
        </w:tc>
      </w:tr>
      <w:tr w:rsidR="00BF5622" w:rsidRPr="00BF5622" w14:paraId="7E9AC6D5" w14:textId="77777777" w:rsidTr="00BF5622">
        <w:trPr>
          <w:jc w:val="center"/>
        </w:trPr>
        <w:tc>
          <w:tcPr>
            <w:tcW w:w="893" w:type="dxa"/>
            <w:gridSpan w:val="2"/>
          </w:tcPr>
          <w:p w14:paraId="4D5D06FD"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2.7.</w:t>
            </w:r>
          </w:p>
        </w:tc>
        <w:tc>
          <w:tcPr>
            <w:tcW w:w="1169" w:type="dxa"/>
          </w:tcPr>
          <w:p w14:paraId="04E1ECE2"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VII dalis</w:t>
            </w:r>
          </w:p>
        </w:tc>
        <w:tc>
          <w:tcPr>
            <w:tcW w:w="2155" w:type="dxa"/>
          </w:tcPr>
          <w:p w14:paraId="6A494CD3"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Žaislai</w:t>
            </w:r>
          </w:p>
        </w:tc>
        <w:tc>
          <w:tcPr>
            <w:tcW w:w="3043" w:type="dxa"/>
            <w:gridSpan w:val="3"/>
          </w:tcPr>
          <w:p w14:paraId="191539BC"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Žaislų mechaninių savybių privalomiesiems saugos reikalavimams bandymai </w:t>
            </w:r>
          </w:p>
        </w:tc>
        <w:tc>
          <w:tcPr>
            <w:tcW w:w="5706" w:type="dxa"/>
            <w:gridSpan w:val="3"/>
          </w:tcPr>
          <w:p w14:paraId="5E54972B"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Saugos reikalavimai pagal LST EN 71-1: 2011 arba lygiavertis </w:t>
            </w:r>
          </w:p>
        </w:tc>
        <w:tc>
          <w:tcPr>
            <w:tcW w:w="1519" w:type="dxa"/>
          </w:tcPr>
          <w:p w14:paraId="6E383D76"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80</w:t>
            </w:r>
          </w:p>
        </w:tc>
      </w:tr>
      <w:tr w:rsidR="00BF5622" w:rsidRPr="00BF5622" w14:paraId="43B732A2" w14:textId="77777777" w:rsidTr="00BF5622">
        <w:trPr>
          <w:jc w:val="center"/>
        </w:trPr>
        <w:tc>
          <w:tcPr>
            <w:tcW w:w="893" w:type="dxa"/>
            <w:gridSpan w:val="2"/>
          </w:tcPr>
          <w:p w14:paraId="12CADA09"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2.8.</w:t>
            </w:r>
          </w:p>
        </w:tc>
        <w:tc>
          <w:tcPr>
            <w:tcW w:w="1169" w:type="dxa"/>
          </w:tcPr>
          <w:p w14:paraId="0B1B3A1A"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VIII dalis</w:t>
            </w:r>
          </w:p>
        </w:tc>
        <w:tc>
          <w:tcPr>
            <w:tcW w:w="2155" w:type="dxa"/>
          </w:tcPr>
          <w:p w14:paraId="2E90BF14"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Cheminės medžiagos ir mišiniai</w:t>
            </w:r>
          </w:p>
        </w:tc>
        <w:tc>
          <w:tcPr>
            <w:tcW w:w="3022" w:type="dxa"/>
            <w:gridSpan w:val="2"/>
          </w:tcPr>
          <w:p w14:paraId="01FF2E9F"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Draudžiamų ir ribojamų medžiagų nustatymas cheminėse medžiagose ir mišiniuose</w:t>
            </w:r>
          </w:p>
        </w:tc>
        <w:tc>
          <w:tcPr>
            <w:tcW w:w="5727" w:type="dxa"/>
            <w:gridSpan w:val="4"/>
          </w:tcPr>
          <w:p w14:paraId="35AC40C3"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Reglamento (EB) Nr. 1907/2006 (REACH) XVII priedas arba lygiavertis</w:t>
            </w:r>
          </w:p>
        </w:tc>
        <w:tc>
          <w:tcPr>
            <w:tcW w:w="1519" w:type="dxa"/>
          </w:tcPr>
          <w:p w14:paraId="2C3D38C2"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44</w:t>
            </w:r>
          </w:p>
        </w:tc>
      </w:tr>
      <w:tr w:rsidR="00BF5622" w:rsidRPr="00BF5622" w14:paraId="651A5D32" w14:textId="77777777" w:rsidTr="00BF5622">
        <w:trPr>
          <w:jc w:val="center"/>
        </w:trPr>
        <w:tc>
          <w:tcPr>
            <w:tcW w:w="893" w:type="dxa"/>
            <w:gridSpan w:val="2"/>
          </w:tcPr>
          <w:p w14:paraId="661E479E"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2.9.</w:t>
            </w:r>
          </w:p>
        </w:tc>
        <w:tc>
          <w:tcPr>
            <w:tcW w:w="1169" w:type="dxa"/>
          </w:tcPr>
          <w:p w14:paraId="32AE5F47"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IX dalis</w:t>
            </w:r>
          </w:p>
        </w:tc>
        <w:tc>
          <w:tcPr>
            <w:tcW w:w="2155" w:type="dxa"/>
          </w:tcPr>
          <w:p w14:paraId="6689E954"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Elektrotechnikos gaminiai</w:t>
            </w:r>
          </w:p>
        </w:tc>
        <w:tc>
          <w:tcPr>
            <w:tcW w:w="3022" w:type="dxa"/>
            <w:gridSpan w:val="2"/>
          </w:tcPr>
          <w:p w14:paraId="53C920BE"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Apšvietimo girliandų ir šviestuvų atitikties saugos reikalavimams bandymai </w:t>
            </w:r>
          </w:p>
        </w:tc>
        <w:tc>
          <w:tcPr>
            <w:tcW w:w="5727" w:type="dxa"/>
            <w:gridSpan w:val="4"/>
          </w:tcPr>
          <w:p w14:paraId="65FA0212"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LST EN 60598-1 arba lygiavertis </w:t>
            </w:r>
          </w:p>
        </w:tc>
        <w:tc>
          <w:tcPr>
            <w:tcW w:w="1519" w:type="dxa"/>
          </w:tcPr>
          <w:p w14:paraId="432E5FB4"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20</w:t>
            </w:r>
          </w:p>
        </w:tc>
      </w:tr>
      <w:tr w:rsidR="00BF5622" w:rsidRPr="00BF5622" w14:paraId="359F42CE" w14:textId="77777777" w:rsidTr="00BF5622">
        <w:trPr>
          <w:trHeight w:val="890"/>
          <w:jc w:val="center"/>
        </w:trPr>
        <w:tc>
          <w:tcPr>
            <w:tcW w:w="893" w:type="dxa"/>
            <w:gridSpan w:val="2"/>
          </w:tcPr>
          <w:p w14:paraId="3F763B14"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2.10.</w:t>
            </w:r>
          </w:p>
        </w:tc>
        <w:tc>
          <w:tcPr>
            <w:tcW w:w="1169" w:type="dxa"/>
          </w:tcPr>
          <w:p w14:paraId="35C54808"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X dalis </w:t>
            </w:r>
          </w:p>
        </w:tc>
        <w:tc>
          <w:tcPr>
            <w:tcW w:w="2155" w:type="dxa"/>
          </w:tcPr>
          <w:p w14:paraId="6C69259B"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Elektrotechnikos gaminiai</w:t>
            </w:r>
          </w:p>
        </w:tc>
        <w:tc>
          <w:tcPr>
            <w:tcW w:w="3022" w:type="dxa"/>
            <w:gridSpan w:val="2"/>
          </w:tcPr>
          <w:p w14:paraId="18D4AF2F"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Buitinių elektrotechninių gaminių atitikties saugos reikalavimams bandymai </w:t>
            </w:r>
          </w:p>
        </w:tc>
        <w:tc>
          <w:tcPr>
            <w:tcW w:w="5727" w:type="dxa"/>
            <w:gridSpan w:val="4"/>
          </w:tcPr>
          <w:p w14:paraId="32516BED"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LST EN 60335 arba lygiavertis </w:t>
            </w:r>
          </w:p>
          <w:p w14:paraId="78A6325E" w14:textId="77777777" w:rsidR="00BF5622" w:rsidRPr="00BF5622" w:rsidRDefault="00BF5622" w:rsidP="00733D73">
            <w:pPr>
              <w:rPr>
                <w:rFonts w:ascii="Calibri Light" w:hAnsi="Calibri Light" w:cs="Calibri Light"/>
                <w:lang w:val="lt-LT"/>
              </w:rPr>
            </w:pPr>
          </w:p>
        </w:tc>
        <w:tc>
          <w:tcPr>
            <w:tcW w:w="1519" w:type="dxa"/>
          </w:tcPr>
          <w:p w14:paraId="1AE74719"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10</w:t>
            </w:r>
          </w:p>
        </w:tc>
      </w:tr>
      <w:tr w:rsidR="00BF5622" w:rsidRPr="00BF5622" w14:paraId="18C8A3C2" w14:textId="77777777" w:rsidTr="00BF5622">
        <w:trPr>
          <w:jc w:val="center"/>
        </w:trPr>
        <w:tc>
          <w:tcPr>
            <w:tcW w:w="893" w:type="dxa"/>
            <w:gridSpan w:val="2"/>
          </w:tcPr>
          <w:p w14:paraId="39D29F92"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2.11.</w:t>
            </w:r>
          </w:p>
        </w:tc>
        <w:tc>
          <w:tcPr>
            <w:tcW w:w="1169" w:type="dxa"/>
          </w:tcPr>
          <w:p w14:paraId="6040697F"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XI dalis</w:t>
            </w:r>
          </w:p>
        </w:tc>
        <w:tc>
          <w:tcPr>
            <w:tcW w:w="2155" w:type="dxa"/>
          </w:tcPr>
          <w:p w14:paraId="221C1597"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Elektrotechnikos gaminiai</w:t>
            </w:r>
          </w:p>
        </w:tc>
        <w:tc>
          <w:tcPr>
            <w:tcW w:w="3022" w:type="dxa"/>
            <w:gridSpan w:val="2"/>
          </w:tcPr>
          <w:p w14:paraId="2A74FD46"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 xml:space="preserve">Instaliacijos gaminių ir </w:t>
            </w:r>
            <w:proofErr w:type="spellStart"/>
            <w:r w:rsidRPr="00BF5622">
              <w:rPr>
                <w:rFonts w:ascii="Calibri Light" w:hAnsi="Calibri Light" w:cs="Calibri Light"/>
                <w:lang w:val="lt-LT"/>
              </w:rPr>
              <w:t>ilgiklių</w:t>
            </w:r>
            <w:proofErr w:type="spellEnd"/>
            <w:r w:rsidRPr="00BF5622">
              <w:rPr>
                <w:rFonts w:ascii="Calibri Light" w:hAnsi="Calibri Light" w:cs="Calibri Light"/>
                <w:lang w:val="lt-LT"/>
              </w:rPr>
              <w:t xml:space="preserve"> atitikties saugos reikalavimams bandymai</w:t>
            </w:r>
          </w:p>
        </w:tc>
        <w:tc>
          <w:tcPr>
            <w:tcW w:w="5727" w:type="dxa"/>
            <w:gridSpan w:val="4"/>
          </w:tcPr>
          <w:p w14:paraId="652541D7" w14:textId="77777777" w:rsidR="00BF5622" w:rsidRPr="00BF5622" w:rsidRDefault="00BF5622" w:rsidP="00733D73">
            <w:pPr>
              <w:rPr>
                <w:rFonts w:ascii="Calibri Light" w:hAnsi="Calibri Light" w:cs="Calibri Light"/>
                <w:lang w:val="lt-LT"/>
              </w:rPr>
            </w:pPr>
            <w:r w:rsidRPr="00BF5622">
              <w:rPr>
                <w:rFonts w:ascii="Calibri Light" w:hAnsi="Calibri Light" w:cs="Calibri Light"/>
                <w:lang w:val="lt-LT"/>
              </w:rPr>
              <w:t>LST EN 50395, IEC60884, LST EN 60811, LST EN 60799 arba lygiaverčiai</w:t>
            </w:r>
          </w:p>
        </w:tc>
        <w:tc>
          <w:tcPr>
            <w:tcW w:w="1519" w:type="dxa"/>
          </w:tcPr>
          <w:p w14:paraId="615BC605" w14:textId="77777777" w:rsidR="00BF5622" w:rsidRPr="00BF5622" w:rsidRDefault="00BF5622" w:rsidP="00733D73">
            <w:pPr>
              <w:jc w:val="center"/>
              <w:rPr>
                <w:rFonts w:ascii="Calibri Light" w:hAnsi="Calibri Light" w:cs="Calibri Light"/>
                <w:lang w:val="lt-LT"/>
              </w:rPr>
            </w:pPr>
            <w:r w:rsidRPr="00BF5622">
              <w:rPr>
                <w:rFonts w:ascii="Calibri Light" w:hAnsi="Calibri Light" w:cs="Calibri Light"/>
                <w:lang w:val="lt-LT"/>
              </w:rPr>
              <w:t>12</w:t>
            </w:r>
          </w:p>
        </w:tc>
      </w:tr>
    </w:tbl>
    <w:p w14:paraId="643EF934" w14:textId="77777777" w:rsidR="00BF5622" w:rsidRPr="00BF5622" w:rsidRDefault="00BF5622" w:rsidP="00BF5622">
      <w:pPr>
        <w:spacing w:after="0" w:line="240" w:lineRule="auto"/>
        <w:jc w:val="center"/>
        <w:rPr>
          <w:rFonts w:ascii="Calibri Light" w:hAnsi="Calibri Light" w:cs="Calibri Light"/>
          <w:lang w:val="lt-LT"/>
        </w:rPr>
      </w:pPr>
    </w:p>
    <w:p w14:paraId="5EEB34C7" w14:textId="77777777" w:rsidR="00BF5622" w:rsidRPr="00BF5622" w:rsidRDefault="00BF5622" w:rsidP="00BF5622">
      <w:pPr>
        <w:spacing w:after="0" w:line="240" w:lineRule="auto"/>
        <w:jc w:val="center"/>
        <w:rPr>
          <w:rFonts w:ascii="Calibri Light" w:hAnsi="Calibri Light" w:cs="Calibri Light"/>
          <w:lang w:val="lt-LT"/>
        </w:rPr>
      </w:pPr>
    </w:p>
    <w:p w14:paraId="00549DEC" w14:textId="77777777" w:rsidR="00BF5622" w:rsidRPr="00BF5622" w:rsidRDefault="00BF5622" w:rsidP="00BF5622">
      <w:pPr>
        <w:spacing w:after="0" w:line="240" w:lineRule="auto"/>
        <w:rPr>
          <w:rFonts w:ascii="Calibri Light" w:hAnsi="Calibri Light" w:cs="Calibri Light"/>
          <w:b/>
          <w:bCs/>
          <w:lang w:val="lt-LT"/>
        </w:rPr>
      </w:pPr>
      <w:r w:rsidRPr="00BF5622">
        <w:rPr>
          <w:rFonts w:ascii="Calibri Light" w:hAnsi="Calibri Light" w:cs="Calibri Light"/>
          <w:b/>
          <w:bCs/>
          <w:lang w:val="lt-LT"/>
        </w:rPr>
        <w:t>3. Aplinkosauginiai reikalavimai.</w:t>
      </w:r>
    </w:p>
    <w:p w14:paraId="493B223A" w14:textId="77777777" w:rsidR="00BF5622" w:rsidRPr="00BF5622" w:rsidRDefault="00BF5622" w:rsidP="00BF5622">
      <w:pPr>
        <w:pStyle w:val="Sraopastraipa"/>
        <w:spacing w:after="0" w:line="240" w:lineRule="auto"/>
        <w:ind w:left="0"/>
        <w:rPr>
          <w:rFonts w:ascii="Calibri Light" w:eastAsia="Tomato Grotesk" w:hAnsi="Calibri Light" w:cs="Calibri Light"/>
          <w:lang w:val="lt-LT"/>
        </w:rPr>
      </w:pPr>
      <w:r w:rsidRPr="00BF5622">
        <w:rPr>
          <w:rFonts w:ascii="Calibri Light" w:eastAsia="Tomato Grotesk" w:hAnsi="Calibri Light" w:cs="Calibri Light"/>
          <w:lang w:val="lt-LT"/>
        </w:rPr>
        <w:t>3.1. Vadovaujantis Aplinkos apsaugos kriterijų, kuriuos perkančiosios organizacijos ir perkantieji subjektai turi taikyti pirkdamos prekes, paslaugas ar darbus, taikymo tvarkos aprašo, patvirtinto Lietuvos Respublikos aplinkos ministro 2011 m. birželio 28 d. įsakymu Nr. D1-508, 4.4.1 papunkčiu ir siekiant sunaudoti mažiau gamtos išteklių, visi su Komunikacijos kampanijos paslaugomis susiję dokumentai (</w:t>
      </w:r>
      <w:r w:rsidRPr="00BF5622">
        <w:rPr>
          <w:rFonts w:ascii="Calibri Light" w:hAnsi="Calibri Light" w:cs="Calibri Light"/>
          <w:lang w:val="lt-LT"/>
        </w:rPr>
        <w:t xml:space="preserve">Bandymų užsakymo formos, </w:t>
      </w:r>
      <w:r w:rsidRPr="00BF5622">
        <w:rPr>
          <w:rFonts w:ascii="Calibri Light" w:eastAsia="Tomato Grotesk" w:hAnsi="Calibri Light" w:cs="Calibri Light"/>
          <w:lang w:val="lt-LT"/>
        </w:rPr>
        <w:t>sąskaitos, aktai, ataskaitos, teksto derinimai) turi būti teikiami elektroniniu formatu ir elektroninėmis priemonėmis (dokumentai neturi būti spausdinami).</w:t>
      </w:r>
    </w:p>
    <w:p w14:paraId="7C9CED73" w14:textId="77777777" w:rsidR="00BF5622" w:rsidRPr="00BF5622" w:rsidRDefault="00BF5622" w:rsidP="00BF5622">
      <w:pPr>
        <w:pStyle w:val="Sraopastraipa"/>
        <w:spacing w:after="0" w:line="240" w:lineRule="auto"/>
        <w:ind w:left="0"/>
        <w:rPr>
          <w:rFonts w:ascii="Calibri Light" w:eastAsia="Tomato Grotesk" w:hAnsi="Calibri Light" w:cs="Calibri Light"/>
          <w:lang w:val="lt-LT"/>
        </w:rPr>
      </w:pPr>
    </w:p>
    <w:p w14:paraId="2B4E4FF6" w14:textId="77777777" w:rsidR="00BF5622" w:rsidRPr="00BF5622" w:rsidRDefault="00BF5622" w:rsidP="00BF5622">
      <w:pPr>
        <w:pStyle w:val="Sraopastraipa"/>
        <w:spacing w:after="0" w:line="240" w:lineRule="auto"/>
        <w:ind w:left="0"/>
        <w:jc w:val="center"/>
        <w:rPr>
          <w:rFonts w:ascii="Calibri Light" w:hAnsi="Calibri Light" w:cs="Calibri Light"/>
          <w:lang w:val="lt-LT"/>
        </w:rPr>
      </w:pPr>
      <w:r w:rsidRPr="00BF5622">
        <w:rPr>
          <w:rFonts w:ascii="Calibri Light" w:hAnsi="Calibri Light" w:cs="Calibri Light"/>
          <w:lang w:val="lt-LT"/>
        </w:rPr>
        <w:t>______________________________</w:t>
      </w:r>
    </w:p>
    <w:bookmarkEnd w:id="14"/>
    <w:p w14:paraId="38097A9E" w14:textId="77777777" w:rsidR="00F372C9" w:rsidRPr="00BF5622" w:rsidRDefault="00F372C9" w:rsidP="00F372C9">
      <w:pPr>
        <w:spacing w:before="60" w:after="60" w:line="240" w:lineRule="auto"/>
        <w:ind w:left="-709"/>
        <w:rPr>
          <w:rFonts w:ascii="Calibri Light" w:hAnsi="Calibri Light" w:cs="Calibri Light"/>
          <w:b/>
          <w:sz w:val="20"/>
          <w:szCs w:val="20"/>
          <w:lang w:val="lt-LT"/>
        </w:rPr>
      </w:pPr>
    </w:p>
    <w:sectPr w:rsidR="00F372C9" w:rsidRPr="00BF5622" w:rsidSect="00BF5622">
      <w:headerReference w:type="default" r:id="rId11"/>
      <w:footerReference w:type="default" r:id="rId12"/>
      <w:pgSz w:w="16839" w:h="11907" w:orient="landscape" w:code="9"/>
      <w:pgMar w:top="994" w:right="533" w:bottom="562" w:left="562" w:header="288"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5F9B1" w14:textId="77777777" w:rsidR="00CD2E7F" w:rsidRDefault="00CD2E7F">
      <w:pPr>
        <w:spacing w:after="0" w:line="240" w:lineRule="auto"/>
      </w:pPr>
      <w:r>
        <w:separator/>
      </w:r>
    </w:p>
  </w:endnote>
  <w:endnote w:type="continuationSeparator" w:id="0">
    <w:p w14:paraId="6699151B" w14:textId="77777777" w:rsidR="00CD2E7F" w:rsidRDefault="00CD2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omato Grotesk">
    <w:panose1 w:val="00000000000000000000"/>
    <w:charset w:val="00"/>
    <w:family w:val="modern"/>
    <w:notTrueType/>
    <w:pitch w:val="variable"/>
    <w:sig w:usb0="00000007" w:usb1="02000003"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D039A">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CF116" w14:textId="77777777" w:rsidR="00CD2E7F" w:rsidRDefault="00CD2E7F">
      <w:pPr>
        <w:spacing w:after="0" w:line="240" w:lineRule="auto"/>
      </w:pPr>
      <w:r>
        <w:separator/>
      </w:r>
    </w:p>
  </w:footnote>
  <w:footnote w:type="continuationSeparator" w:id="0">
    <w:p w14:paraId="4DE75188" w14:textId="77777777" w:rsidR="00CD2E7F" w:rsidRDefault="00CD2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34"/>
    </w:tblGrid>
    <w:tr w:rsidR="00CC5562" w:rsidRPr="00F946E3" w14:paraId="508F4584" w14:textId="77777777" w:rsidTr="009A2B8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943634" w:themeFill="accent2" w:themeFillShade="BF"/>
          <w:vAlign w:val="center"/>
          <w:hideMark/>
        </w:tcPr>
        <w:p w14:paraId="7A2AA1D4" w14:textId="7374BED0" w:rsidR="00CC5562" w:rsidRPr="00F946E3" w:rsidRDefault="009A2B89" w:rsidP="00CC5562">
          <w:pPr>
            <w:jc w:val="left"/>
            <w:rPr>
              <w:rFonts w:ascii="Calibri Light" w:hAnsi="Calibri Light" w:cs="Calibri Light"/>
              <w:b/>
              <w:sz w:val="20"/>
              <w:szCs w:val="20"/>
              <w:lang w:val="lt-LT"/>
            </w:rPr>
          </w:pPr>
          <w:r>
            <w:rPr>
              <w:rFonts w:ascii="Calibri Light" w:hAnsi="Calibri Light" w:cs="Calibri Light"/>
              <w:b/>
              <w:color w:val="FFFFFF" w:themeColor="background1"/>
              <w:sz w:val="20"/>
              <w:szCs w:val="20"/>
              <w:lang w:val="lt-LT"/>
            </w:rPr>
            <w:t>VVTAT</w:t>
          </w:r>
          <w:r w:rsidR="00CC5562" w:rsidRPr="00F946E3">
            <w:rPr>
              <w:rFonts w:ascii="Calibri Light" w:hAnsi="Calibri Light" w:cs="Calibri Light"/>
              <w:b/>
              <w:color w:val="FFFFFF" w:themeColor="background1"/>
              <w:sz w:val="20"/>
              <w:szCs w:val="20"/>
              <w:lang w:val="lt-LT"/>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5"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7"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8"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29"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0"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5" w15:restartNumberingAfterBreak="0">
    <w:nsid w:val="708F6537"/>
    <w:multiLevelType w:val="multilevel"/>
    <w:tmpl w:val="6786EC48"/>
    <w:lvl w:ilvl="0">
      <w:start w:val="1"/>
      <w:numFmt w:val="decimal"/>
      <w:lvlText w:val="%1."/>
      <w:lvlJc w:val="left"/>
      <w:pPr>
        <w:tabs>
          <w:tab w:val="num" w:pos="360"/>
        </w:tabs>
        <w:ind w:left="360" w:hanging="360"/>
      </w:pPr>
      <w:rPr>
        <w:b/>
      </w:rPr>
    </w:lvl>
    <w:lvl w:ilvl="1">
      <w:start w:val="1"/>
      <w:numFmt w:val="decimal"/>
      <w:lvlText w:val="%1.%2."/>
      <w:lvlJc w:val="left"/>
      <w:pPr>
        <w:tabs>
          <w:tab w:val="num" w:pos="1000"/>
        </w:tabs>
        <w:ind w:left="1000" w:hanging="432"/>
      </w:pPr>
      <w:rPr>
        <w:b w:val="0"/>
      </w:rPr>
    </w:lvl>
    <w:lvl w:ilvl="2">
      <w:start w:val="1"/>
      <w:numFmt w:val="decimal"/>
      <w:lvlText w:val="%1.%2.%3."/>
      <w:lvlJc w:val="left"/>
      <w:pPr>
        <w:tabs>
          <w:tab w:val="num" w:pos="1440"/>
        </w:tabs>
        <w:ind w:left="1224" w:hanging="504"/>
      </w:pPr>
      <w:rPr>
        <w:rFonts w:ascii="Times New Roman" w:hAnsi="Times New Roman" w:cs="Times New Roman" w:hint="default"/>
        <w:sz w:val="24"/>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634864955">
    <w:abstractNumId w:val="4"/>
  </w:num>
  <w:num w:numId="2" w16cid:durableId="1401902308">
    <w:abstractNumId w:val="3"/>
  </w:num>
  <w:num w:numId="3" w16cid:durableId="785780172">
    <w:abstractNumId w:val="2"/>
  </w:num>
  <w:num w:numId="4" w16cid:durableId="1391919875">
    <w:abstractNumId w:val="1"/>
  </w:num>
  <w:num w:numId="5" w16cid:durableId="2024354314">
    <w:abstractNumId w:val="0"/>
  </w:num>
  <w:num w:numId="6" w16cid:durableId="871235958">
    <w:abstractNumId w:val="13"/>
  </w:num>
  <w:num w:numId="7" w16cid:durableId="20281963">
    <w:abstractNumId w:val="20"/>
  </w:num>
  <w:num w:numId="8" w16cid:durableId="625426079">
    <w:abstractNumId w:val="16"/>
  </w:num>
  <w:num w:numId="9" w16cid:durableId="1340960049">
    <w:abstractNumId w:val="22"/>
  </w:num>
  <w:num w:numId="10" w16cid:durableId="200552471">
    <w:abstractNumId w:val="9"/>
  </w:num>
  <w:num w:numId="11" w16cid:durableId="1244532644">
    <w:abstractNumId w:val="26"/>
  </w:num>
  <w:num w:numId="12" w16cid:durableId="1165509148">
    <w:abstractNumId w:val="10"/>
  </w:num>
  <w:num w:numId="13" w16cid:durableId="398676994">
    <w:abstractNumId w:val="32"/>
  </w:num>
  <w:num w:numId="14" w16cid:durableId="790129852">
    <w:abstractNumId w:val="17"/>
  </w:num>
  <w:num w:numId="15" w16cid:durableId="1808432921">
    <w:abstractNumId w:val="38"/>
  </w:num>
  <w:num w:numId="16" w16cid:durableId="507184298">
    <w:abstractNumId w:val="14"/>
  </w:num>
  <w:num w:numId="17" w16cid:durableId="1120804739">
    <w:abstractNumId w:val="30"/>
  </w:num>
  <w:num w:numId="18" w16cid:durableId="1346589287">
    <w:abstractNumId w:val="23"/>
  </w:num>
  <w:num w:numId="19" w16cid:durableId="720520520">
    <w:abstractNumId w:val="19"/>
  </w:num>
  <w:num w:numId="20" w16cid:durableId="1129278725">
    <w:abstractNumId w:val="25"/>
  </w:num>
  <w:num w:numId="21" w16cid:durableId="1679774826">
    <w:abstractNumId w:val="33"/>
  </w:num>
  <w:num w:numId="22" w16cid:durableId="1078526127">
    <w:abstractNumId w:val="36"/>
  </w:num>
  <w:num w:numId="23" w16cid:durableId="342897579">
    <w:abstractNumId w:val="11"/>
  </w:num>
  <w:num w:numId="24" w16cid:durableId="190648159">
    <w:abstractNumId w:val="31"/>
  </w:num>
  <w:num w:numId="25" w16cid:durableId="844713581">
    <w:abstractNumId w:val="12"/>
  </w:num>
  <w:num w:numId="26" w16cid:durableId="846794884">
    <w:abstractNumId w:val="27"/>
  </w:num>
  <w:num w:numId="27" w16cid:durableId="776019525">
    <w:abstractNumId w:val="39"/>
  </w:num>
  <w:num w:numId="28" w16cid:durableId="1841001528">
    <w:abstractNumId w:val="8"/>
  </w:num>
  <w:num w:numId="29" w16cid:durableId="332992945">
    <w:abstractNumId w:val="18"/>
  </w:num>
  <w:num w:numId="30" w16cid:durableId="1277760402">
    <w:abstractNumId w:val="40"/>
  </w:num>
  <w:num w:numId="31" w16cid:durableId="993099707">
    <w:abstractNumId w:val="28"/>
  </w:num>
  <w:num w:numId="32" w16cid:durableId="54549342">
    <w:abstractNumId w:val="6"/>
  </w:num>
  <w:num w:numId="33" w16cid:durableId="62223604">
    <w:abstractNumId w:val="34"/>
  </w:num>
  <w:num w:numId="34" w16cid:durableId="1631399244">
    <w:abstractNumId w:val="7"/>
  </w:num>
  <w:num w:numId="35" w16cid:durableId="37975325">
    <w:abstractNumId w:val="24"/>
  </w:num>
  <w:num w:numId="36" w16cid:durableId="255216231">
    <w:abstractNumId w:val="37"/>
  </w:num>
  <w:num w:numId="37" w16cid:durableId="1885025545">
    <w:abstractNumId w:val="15"/>
  </w:num>
  <w:num w:numId="38" w16cid:durableId="2042044950">
    <w:abstractNumId w:val="29"/>
  </w:num>
  <w:num w:numId="39" w16cid:durableId="1977105520">
    <w:abstractNumId w:val="21"/>
  </w:num>
  <w:num w:numId="40" w16cid:durableId="1705057570">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3366F"/>
    <w:rsid w:val="00036DBB"/>
    <w:rsid w:val="000420DD"/>
    <w:rsid w:val="0004685E"/>
    <w:rsid w:val="00084F44"/>
    <w:rsid w:val="0008777E"/>
    <w:rsid w:val="0009047A"/>
    <w:rsid w:val="00097241"/>
    <w:rsid w:val="000A23D3"/>
    <w:rsid w:val="000A76D6"/>
    <w:rsid w:val="000B0A6A"/>
    <w:rsid w:val="000C1A17"/>
    <w:rsid w:val="000D5A99"/>
    <w:rsid w:val="000F554D"/>
    <w:rsid w:val="00107D65"/>
    <w:rsid w:val="00137432"/>
    <w:rsid w:val="0014465A"/>
    <w:rsid w:val="0015224A"/>
    <w:rsid w:val="00153F22"/>
    <w:rsid w:val="001555AC"/>
    <w:rsid w:val="001565FD"/>
    <w:rsid w:val="0016225E"/>
    <w:rsid w:val="0016304D"/>
    <w:rsid w:val="00165468"/>
    <w:rsid w:val="00165519"/>
    <w:rsid w:val="00171C82"/>
    <w:rsid w:val="00175F59"/>
    <w:rsid w:val="0018021B"/>
    <w:rsid w:val="001C29D9"/>
    <w:rsid w:val="001E035E"/>
    <w:rsid w:val="001E72B5"/>
    <w:rsid w:val="001F3F23"/>
    <w:rsid w:val="0020401E"/>
    <w:rsid w:val="002101D9"/>
    <w:rsid w:val="00216CC3"/>
    <w:rsid w:val="002304E4"/>
    <w:rsid w:val="00230C9A"/>
    <w:rsid w:val="00246179"/>
    <w:rsid w:val="00261339"/>
    <w:rsid w:val="00261B88"/>
    <w:rsid w:val="00263108"/>
    <w:rsid w:val="00273CFD"/>
    <w:rsid w:val="00290944"/>
    <w:rsid w:val="002912FE"/>
    <w:rsid w:val="00295353"/>
    <w:rsid w:val="002A474B"/>
    <w:rsid w:val="002A626E"/>
    <w:rsid w:val="002C2765"/>
    <w:rsid w:val="002C422B"/>
    <w:rsid w:val="002C4E6E"/>
    <w:rsid w:val="002C658C"/>
    <w:rsid w:val="002C7F2C"/>
    <w:rsid w:val="002D4D03"/>
    <w:rsid w:val="002F1836"/>
    <w:rsid w:val="003150D0"/>
    <w:rsid w:val="003236D0"/>
    <w:rsid w:val="00323BBA"/>
    <w:rsid w:val="00334A5F"/>
    <w:rsid w:val="00341C69"/>
    <w:rsid w:val="00355850"/>
    <w:rsid w:val="00355B56"/>
    <w:rsid w:val="00356312"/>
    <w:rsid w:val="00357BD5"/>
    <w:rsid w:val="003673D6"/>
    <w:rsid w:val="00385616"/>
    <w:rsid w:val="0039787C"/>
    <w:rsid w:val="003B0B81"/>
    <w:rsid w:val="003B7395"/>
    <w:rsid w:val="003C2849"/>
    <w:rsid w:val="003C3626"/>
    <w:rsid w:val="003D0DA8"/>
    <w:rsid w:val="003D3BE3"/>
    <w:rsid w:val="003D5439"/>
    <w:rsid w:val="003E3438"/>
    <w:rsid w:val="003F2E3F"/>
    <w:rsid w:val="003F6C42"/>
    <w:rsid w:val="0042600F"/>
    <w:rsid w:val="00430A6E"/>
    <w:rsid w:val="00435AD3"/>
    <w:rsid w:val="004405B4"/>
    <w:rsid w:val="00443697"/>
    <w:rsid w:val="00445577"/>
    <w:rsid w:val="00466DB9"/>
    <w:rsid w:val="00470AB6"/>
    <w:rsid w:val="004718C8"/>
    <w:rsid w:val="0047250A"/>
    <w:rsid w:val="00475921"/>
    <w:rsid w:val="004767D9"/>
    <w:rsid w:val="0047713F"/>
    <w:rsid w:val="00477AA1"/>
    <w:rsid w:val="0048180B"/>
    <w:rsid w:val="00483E3A"/>
    <w:rsid w:val="00484613"/>
    <w:rsid w:val="004A2E21"/>
    <w:rsid w:val="004A2F52"/>
    <w:rsid w:val="004B7CF6"/>
    <w:rsid w:val="004C1BD0"/>
    <w:rsid w:val="004D238B"/>
    <w:rsid w:val="004D33E4"/>
    <w:rsid w:val="004E2DBF"/>
    <w:rsid w:val="004E5655"/>
    <w:rsid w:val="004F1729"/>
    <w:rsid w:val="004F4B43"/>
    <w:rsid w:val="004F690D"/>
    <w:rsid w:val="004F7C2A"/>
    <w:rsid w:val="0050743B"/>
    <w:rsid w:val="0051322B"/>
    <w:rsid w:val="005238FE"/>
    <w:rsid w:val="00547246"/>
    <w:rsid w:val="00586FA3"/>
    <w:rsid w:val="005907B7"/>
    <w:rsid w:val="005A210F"/>
    <w:rsid w:val="005B5436"/>
    <w:rsid w:val="005B681B"/>
    <w:rsid w:val="005C2621"/>
    <w:rsid w:val="005C3338"/>
    <w:rsid w:val="005C5732"/>
    <w:rsid w:val="005D6336"/>
    <w:rsid w:val="005F5F35"/>
    <w:rsid w:val="006040B7"/>
    <w:rsid w:val="006171F1"/>
    <w:rsid w:val="0062594A"/>
    <w:rsid w:val="0062688A"/>
    <w:rsid w:val="0063093F"/>
    <w:rsid w:val="00671C08"/>
    <w:rsid w:val="006932F3"/>
    <w:rsid w:val="006A2DF1"/>
    <w:rsid w:val="006B2576"/>
    <w:rsid w:val="006B5389"/>
    <w:rsid w:val="006C070D"/>
    <w:rsid w:val="006C5749"/>
    <w:rsid w:val="006D305F"/>
    <w:rsid w:val="006E0547"/>
    <w:rsid w:val="006F599E"/>
    <w:rsid w:val="00711888"/>
    <w:rsid w:val="00733BB8"/>
    <w:rsid w:val="00755EFD"/>
    <w:rsid w:val="007607FF"/>
    <w:rsid w:val="007651CB"/>
    <w:rsid w:val="0078742F"/>
    <w:rsid w:val="00791CCE"/>
    <w:rsid w:val="00795452"/>
    <w:rsid w:val="007B004A"/>
    <w:rsid w:val="007B2144"/>
    <w:rsid w:val="007C1EB6"/>
    <w:rsid w:val="007C63FE"/>
    <w:rsid w:val="007C6AE7"/>
    <w:rsid w:val="007D484D"/>
    <w:rsid w:val="007E19FD"/>
    <w:rsid w:val="007E41FC"/>
    <w:rsid w:val="007F5C74"/>
    <w:rsid w:val="00801195"/>
    <w:rsid w:val="00820FF6"/>
    <w:rsid w:val="008329FD"/>
    <w:rsid w:val="00834941"/>
    <w:rsid w:val="008430BA"/>
    <w:rsid w:val="00861471"/>
    <w:rsid w:val="00862EA0"/>
    <w:rsid w:val="008702D5"/>
    <w:rsid w:val="00871195"/>
    <w:rsid w:val="008718DB"/>
    <w:rsid w:val="008816B6"/>
    <w:rsid w:val="008841E0"/>
    <w:rsid w:val="008921E1"/>
    <w:rsid w:val="00893188"/>
    <w:rsid w:val="00896B6B"/>
    <w:rsid w:val="008A4860"/>
    <w:rsid w:val="008A61F5"/>
    <w:rsid w:val="008B07BD"/>
    <w:rsid w:val="008B13A4"/>
    <w:rsid w:val="008B27EE"/>
    <w:rsid w:val="008B30BA"/>
    <w:rsid w:val="008B680B"/>
    <w:rsid w:val="008B6962"/>
    <w:rsid w:val="008B6DD2"/>
    <w:rsid w:val="008C2772"/>
    <w:rsid w:val="008E1C16"/>
    <w:rsid w:val="008E2DBF"/>
    <w:rsid w:val="009003E6"/>
    <w:rsid w:val="009123C2"/>
    <w:rsid w:val="0095386F"/>
    <w:rsid w:val="00957A69"/>
    <w:rsid w:val="00966D81"/>
    <w:rsid w:val="00974023"/>
    <w:rsid w:val="0098678C"/>
    <w:rsid w:val="0099199E"/>
    <w:rsid w:val="0099266F"/>
    <w:rsid w:val="00993F3E"/>
    <w:rsid w:val="009A2B89"/>
    <w:rsid w:val="009B26D3"/>
    <w:rsid w:val="009C1CD8"/>
    <w:rsid w:val="009C3BD8"/>
    <w:rsid w:val="009D0B8C"/>
    <w:rsid w:val="009D7A1A"/>
    <w:rsid w:val="009E042E"/>
    <w:rsid w:val="009E4852"/>
    <w:rsid w:val="009F47E6"/>
    <w:rsid w:val="009F6EAF"/>
    <w:rsid w:val="00A1109D"/>
    <w:rsid w:val="00A12041"/>
    <w:rsid w:val="00A122D6"/>
    <w:rsid w:val="00A25093"/>
    <w:rsid w:val="00A33D41"/>
    <w:rsid w:val="00A34BF3"/>
    <w:rsid w:val="00A37389"/>
    <w:rsid w:val="00A5617A"/>
    <w:rsid w:val="00A660A0"/>
    <w:rsid w:val="00A72069"/>
    <w:rsid w:val="00A72FF1"/>
    <w:rsid w:val="00A76407"/>
    <w:rsid w:val="00A90AB3"/>
    <w:rsid w:val="00A91815"/>
    <w:rsid w:val="00A9338B"/>
    <w:rsid w:val="00AA01C0"/>
    <w:rsid w:val="00AB2361"/>
    <w:rsid w:val="00AB30EB"/>
    <w:rsid w:val="00AD0B84"/>
    <w:rsid w:val="00AF70F0"/>
    <w:rsid w:val="00B00BCD"/>
    <w:rsid w:val="00B065CB"/>
    <w:rsid w:val="00B1115A"/>
    <w:rsid w:val="00B20BFE"/>
    <w:rsid w:val="00B2421F"/>
    <w:rsid w:val="00B31DA4"/>
    <w:rsid w:val="00B47F94"/>
    <w:rsid w:val="00B56DE9"/>
    <w:rsid w:val="00B71273"/>
    <w:rsid w:val="00B7462E"/>
    <w:rsid w:val="00B76618"/>
    <w:rsid w:val="00B9260E"/>
    <w:rsid w:val="00BA2917"/>
    <w:rsid w:val="00BA5B69"/>
    <w:rsid w:val="00BB4829"/>
    <w:rsid w:val="00BB6668"/>
    <w:rsid w:val="00BC0C34"/>
    <w:rsid w:val="00BD0CA9"/>
    <w:rsid w:val="00BD1775"/>
    <w:rsid w:val="00BD2308"/>
    <w:rsid w:val="00BD665B"/>
    <w:rsid w:val="00BE7109"/>
    <w:rsid w:val="00BF3B16"/>
    <w:rsid w:val="00BF5622"/>
    <w:rsid w:val="00BF7E4E"/>
    <w:rsid w:val="00C0304D"/>
    <w:rsid w:val="00C130BC"/>
    <w:rsid w:val="00C16318"/>
    <w:rsid w:val="00C163C7"/>
    <w:rsid w:val="00C2041D"/>
    <w:rsid w:val="00C23C40"/>
    <w:rsid w:val="00C32E0A"/>
    <w:rsid w:val="00C372B8"/>
    <w:rsid w:val="00C4540F"/>
    <w:rsid w:val="00C47B4A"/>
    <w:rsid w:val="00C50D93"/>
    <w:rsid w:val="00C52E8B"/>
    <w:rsid w:val="00C54F6C"/>
    <w:rsid w:val="00C6353C"/>
    <w:rsid w:val="00C73E67"/>
    <w:rsid w:val="00C765C9"/>
    <w:rsid w:val="00C80BC3"/>
    <w:rsid w:val="00C810E9"/>
    <w:rsid w:val="00C86FB6"/>
    <w:rsid w:val="00C92CAA"/>
    <w:rsid w:val="00C9514E"/>
    <w:rsid w:val="00CA0892"/>
    <w:rsid w:val="00CB4069"/>
    <w:rsid w:val="00CC0F45"/>
    <w:rsid w:val="00CC5562"/>
    <w:rsid w:val="00CD0DE0"/>
    <w:rsid w:val="00CD0E31"/>
    <w:rsid w:val="00CD184D"/>
    <w:rsid w:val="00CD2E7F"/>
    <w:rsid w:val="00CD4779"/>
    <w:rsid w:val="00D0377C"/>
    <w:rsid w:val="00D04F42"/>
    <w:rsid w:val="00D1317D"/>
    <w:rsid w:val="00D162B5"/>
    <w:rsid w:val="00D2233A"/>
    <w:rsid w:val="00D23D84"/>
    <w:rsid w:val="00D25C2F"/>
    <w:rsid w:val="00D36319"/>
    <w:rsid w:val="00D42EEC"/>
    <w:rsid w:val="00D62C94"/>
    <w:rsid w:val="00D91AF8"/>
    <w:rsid w:val="00D92A1E"/>
    <w:rsid w:val="00DA4674"/>
    <w:rsid w:val="00DB087F"/>
    <w:rsid w:val="00DB2CC7"/>
    <w:rsid w:val="00DB6CBD"/>
    <w:rsid w:val="00DB76BF"/>
    <w:rsid w:val="00DB7DFF"/>
    <w:rsid w:val="00DC06DE"/>
    <w:rsid w:val="00DC157F"/>
    <w:rsid w:val="00DC4FBD"/>
    <w:rsid w:val="00DD2695"/>
    <w:rsid w:val="00DF2B47"/>
    <w:rsid w:val="00E05259"/>
    <w:rsid w:val="00E066C9"/>
    <w:rsid w:val="00E14620"/>
    <w:rsid w:val="00E20E5D"/>
    <w:rsid w:val="00E241BC"/>
    <w:rsid w:val="00E2482E"/>
    <w:rsid w:val="00E25BB1"/>
    <w:rsid w:val="00E322C4"/>
    <w:rsid w:val="00E35014"/>
    <w:rsid w:val="00E37313"/>
    <w:rsid w:val="00E81687"/>
    <w:rsid w:val="00E83E6A"/>
    <w:rsid w:val="00EA0899"/>
    <w:rsid w:val="00ED039A"/>
    <w:rsid w:val="00ED5326"/>
    <w:rsid w:val="00ED793B"/>
    <w:rsid w:val="00EE5536"/>
    <w:rsid w:val="00EF116A"/>
    <w:rsid w:val="00EF3813"/>
    <w:rsid w:val="00F048F2"/>
    <w:rsid w:val="00F13CD3"/>
    <w:rsid w:val="00F22BDF"/>
    <w:rsid w:val="00F268B6"/>
    <w:rsid w:val="00F372C9"/>
    <w:rsid w:val="00F377FE"/>
    <w:rsid w:val="00F4255E"/>
    <w:rsid w:val="00F467F9"/>
    <w:rsid w:val="00F5081D"/>
    <w:rsid w:val="00F57DDF"/>
    <w:rsid w:val="00F63E39"/>
    <w:rsid w:val="00F64268"/>
    <w:rsid w:val="00F676C2"/>
    <w:rsid w:val="00F946E3"/>
    <w:rsid w:val="00FA44AF"/>
    <w:rsid w:val="00FA7116"/>
    <w:rsid w:val="00FB46C5"/>
    <w:rsid w:val="00FB65B0"/>
    <w:rsid w:val="00FC044B"/>
    <w:rsid w:val="00FC72ED"/>
    <w:rsid w:val="00FD75D6"/>
    <w:rsid w:val="00FE084B"/>
    <w:rsid w:val="00FE55BE"/>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styleId="Lentelstinklelisviesus">
    <w:name w:val="Grid Table Light"/>
    <w:basedOn w:val="prastojilentel"/>
    <w:uiPriority w:val="40"/>
    <w:rsid w:val="00BF562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7E25CC7-B19A-4E3F-8F5A-364725A8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154</TotalTime>
  <Pages>2</Pages>
  <Words>558</Words>
  <Characters>3186</Characters>
  <Application>Microsoft Office Word</Application>
  <DocSecurity>0</DocSecurity>
  <Lines>26</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Karolis Klusevičius</cp:lastModifiedBy>
  <cp:revision>41</cp:revision>
  <cp:lastPrinted>2021-01-19T12:06:00Z</cp:lastPrinted>
  <dcterms:created xsi:type="dcterms:W3CDTF">2023-01-03T07:26:00Z</dcterms:created>
  <dcterms:modified xsi:type="dcterms:W3CDTF">2025-01-23T13:57:00Z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